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B9FA5" w14:textId="77777777" w:rsidR="006E10DE" w:rsidRDefault="006E10DE" w:rsidP="006E10DE">
      <w:pPr>
        <w:pStyle w:val="Titel"/>
        <w:rPr>
          <w:lang w:val="de-AT"/>
        </w:rPr>
      </w:pPr>
      <w:bookmarkStart w:id="0" w:name="_Toc119314866"/>
      <w:r>
        <w:rPr>
          <w:lang w:val="de-AT"/>
        </w:rPr>
        <w:t>iPads umbenennen ermöglichen</w:t>
      </w:r>
      <w:bookmarkEnd w:id="0"/>
    </w:p>
    <w:p w14:paraId="77986EC1" w14:textId="77777777" w:rsidR="006E10DE" w:rsidRPr="00C77B54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p w14:paraId="2DDDDF05" w14:textId="77777777" w:rsidR="006E10DE" w:rsidRPr="00C77B54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rFonts w:cs="Segoe UI"/>
          <w:lang w:val="de-AT" w:eastAsia="de-AT"/>
        </w:rPr>
      </w:pPr>
      <w:proofErr w:type="spellStart"/>
      <w:r w:rsidRPr="00C77B54">
        <w:rPr>
          <w:lang w:val="de-AT"/>
        </w:rPr>
        <w:t>Airdrop</w:t>
      </w:r>
      <w:proofErr w:type="spellEnd"/>
      <w:r w:rsidRPr="00C77B54">
        <w:rPr>
          <w:lang w:val="de-AT"/>
        </w:rPr>
        <w:t xml:space="preserve"> und andere Apple Dienste identifizieren Geräte nach Geräte- und nicht Benutzernamen. Unsere Seriennummern als Namen sind dabei sperrige Vehikel. </w:t>
      </w:r>
      <w:r w:rsidRPr="00C77B54">
        <w:rPr>
          <w:rFonts w:cs="Segoe UI"/>
          <w:lang w:val="de-AT" w:eastAsia="de-AT"/>
        </w:rPr>
        <w:t>Die Möglichkeit iPads umzubenennen, muss gut überlegt sein:</w:t>
      </w:r>
    </w:p>
    <w:p w14:paraId="33C194DD" w14:textId="77777777" w:rsidR="006E10DE" w:rsidRDefault="006E10DE" w:rsidP="006E10DE">
      <w:pPr>
        <w:pStyle w:val="Listenabsatz"/>
        <w:numPr>
          <w:ilvl w:val="0"/>
          <w:numId w:val="26"/>
        </w:numPr>
        <w:tabs>
          <w:tab w:val="num" w:pos="284"/>
        </w:tabs>
        <w:autoSpaceDE w:val="0"/>
        <w:autoSpaceDN w:val="0"/>
        <w:adjustRightInd w:val="0"/>
        <w:ind w:left="284" w:hanging="284"/>
        <w:jc w:val="left"/>
        <w:rPr>
          <w:rFonts w:cs="Segoe UI"/>
          <w:lang w:val="de-AT" w:eastAsia="de-AT"/>
        </w:rPr>
      </w:pPr>
      <w:r w:rsidRPr="00C77B54">
        <w:rPr>
          <w:rFonts w:cs="Segoe UI"/>
          <w:lang w:val="de-AT" w:eastAsia="de-AT"/>
        </w:rPr>
        <w:t>Ein manuelles Umbenennen der Geräte durch den MDM Admin ist unzumutbar.</w:t>
      </w:r>
    </w:p>
    <w:p w14:paraId="2478B828" w14:textId="77777777" w:rsidR="006E10DE" w:rsidRPr="00C77B54" w:rsidRDefault="006E10DE" w:rsidP="006E10DE">
      <w:pPr>
        <w:pStyle w:val="Listenabsatz"/>
        <w:numPr>
          <w:ilvl w:val="0"/>
          <w:numId w:val="26"/>
        </w:numPr>
        <w:tabs>
          <w:tab w:val="num" w:pos="284"/>
        </w:tabs>
        <w:autoSpaceDE w:val="0"/>
        <w:autoSpaceDN w:val="0"/>
        <w:adjustRightInd w:val="0"/>
        <w:ind w:left="284" w:hanging="284"/>
        <w:jc w:val="left"/>
        <w:rPr>
          <w:rFonts w:cs="Segoe UI"/>
          <w:lang w:val="de-AT" w:eastAsia="de-AT"/>
        </w:rPr>
      </w:pPr>
      <w:r>
        <w:rPr>
          <w:lang w:val="de-AT"/>
        </w:rPr>
        <w:t>E</w:t>
      </w:r>
      <w:r w:rsidRPr="00C77B54">
        <w:rPr>
          <w:lang w:val="de-AT"/>
        </w:rPr>
        <w:t xml:space="preserve">ine Automatisierung per </w:t>
      </w:r>
      <w:proofErr w:type="spellStart"/>
      <w:r w:rsidRPr="00C77B54">
        <w:rPr>
          <w:lang w:val="de-AT"/>
        </w:rPr>
        <w:t>Powershell</w:t>
      </w:r>
      <w:proofErr w:type="spellEnd"/>
      <w:r w:rsidRPr="00C77B54">
        <w:rPr>
          <w:lang w:val="de-AT"/>
        </w:rPr>
        <w:t xml:space="preserve"> Skript wird </w:t>
      </w:r>
      <w:r w:rsidRPr="00C77B54">
        <w:rPr>
          <w:rFonts w:cs="Segoe UI"/>
          <w:lang w:val="de-AT" w:eastAsia="de-AT"/>
        </w:rPr>
        <w:t>MDM Admin</w:t>
      </w:r>
      <w:r>
        <w:rPr>
          <w:rFonts w:cs="Segoe UI"/>
          <w:lang w:val="de-AT" w:eastAsia="de-AT"/>
        </w:rPr>
        <w:t>s</w:t>
      </w:r>
      <w:r w:rsidRPr="00C77B54">
        <w:rPr>
          <w:rFonts w:cs="Segoe UI"/>
          <w:lang w:val="de-AT" w:eastAsia="de-AT"/>
        </w:rPr>
        <w:t xml:space="preserve"> </w:t>
      </w:r>
      <w:r w:rsidRPr="00C77B54">
        <w:rPr>
          <w:lang w:val="de-AT"/>
        </w:rPr>
        <w:t>überfordern</w:t>
      </w:r>
      <w:r>
        <w:rPr>
          <w:lang w:val="de-AT"/>
        </w:rPr>
        <w:t>.</w:t>
      </w:r>
    </w:p>
    <w:p w14:paraId="463D9027" w14:textId="77777777" w:rsidR="006E10DE" w:rsidRPr="00C77B54" w:rsidRDefault="006E10DE" w:rsidP="006E10DE">
      <w:pPr>
        <w:pStyle w:val="Listenabsatz"/>
        <w:numPr>
          <w:ilvl w:val="0"/>
          <w:numId w:val="26"/>
        </w:numPr>
        <w:tabs>
          <w:tab w:val="num" w:pos="284"/>
          <w:tab w:val="num" w:pos="567"/>
        </w:tabs>
        <w:autoSpaceDE w:val="0"/>
        <w:autoSpaceDN w:val="0"/>
        <w:adjustRightInd w:val="0"/>
        <w:ind w:left="284" w:hanging="284"/>
        <w:jc w:val="left"/>
        <w:rPr>
          <w:rFonts w:cs="Segoe UI"/>
          <w:lang w:val="de-AT" w:eastAsia="de-AT"/>
        </w:rPr>
      </w:pPr>
      <w:r w:rsidRPr="00C77B54">
        <w:rPr>
          <w:rFonts w:cs="Segoe UI"/>
          <w:lang w:val="de-AT" w:eastAsia="de-AT"/>
        </w:rPr>
        <w:t xml:space="preserve">Das Umbenennen der Geräte durch die </w:t>
      </w:r>
      <w:proofErr w:type="spellStart"/>
      <w:proofErr w:type="gramStart"/>
      <w:r w:rsidRPr="00C77B54">
        <w:rPr>
          <w:rFonts w:cs="Segoe UI"/>
          <w:lang w:val="de-AT" w:eastAsia="de-AT"/>
        </w:rPr>
        <w:t>Schüler:innen</w:t>
      </w:r>
      <w:proofErr w:type="spellEnd"/>
      <w:proofErr w:type="gramEnd"/>
      <w:r w:rsidRPr="00C77B54">
        <w:rPr>
          <w:rFonts w:cs="Segoe UI"/>
          <w:lang w:val="de-AT" w:eastAsia="de-AT"/>
        </w:rPr>
        <w:t xml:space="preserve"> wird – hoffentlich selten – zu Problemen führen. Was machen wir mit </w:t>
      </w:r>
      <w:proofErr w:type="spellStart"/>
      <w:proofErr w:type="gramStart"/>
      <w:r w:rsidRPr="00C77B54">
        <w:rPr>
          <w:rFonts w:cs="Segoe UI"/>
          <w:lang w:val="de-AT" w:eastAsia="de-AT"/>
        </w:rPr>
        <w:t>Schüler:innen</w:t>
      </w:r>
      <w:proofErr w:type="spellEnd"/>
      <w:proofErr w:type="gramEnd"/>
      <w:r w:rsidRPr="00C77B54">
        <w:rPr>
          <w:rFonts w:cs="Segoe UI"/>
          <w:lang w:val="de-AT" w:eastAsia="de-AT"/>
        </w:rPr>
        <w:t xml:space="preserve">, die das Gerät nach </w:t>
      </w:r>
      <w:proofErr w:type="spellStart"/>
      <w:r w:rsidRPr="00C77B54">
        <w:rPr>
          <w:rFonts w:cs="Segoe UI"/>
          <w:lang w:val="de-AT" w:eastAsia="de-AT"/>
        </w:rPr>
        <w:t>einer:em</w:t>
      </w:r>
      <w:proofErr w:type="spellEnd"/>
      <w:r w:rsidRPr="00C77B54">
        <w:rPr>
          <w:rFonts w:cs="Segoe UI"/>
          <w:lang w:val="de-AT" w:eastAsia="de-AT"/>
        </w:rPr>
        <w:t xml:space="preserve"> anderen </w:t>
      </w:r>
      <w:proofErr w:type="spellStart"/>
      <w:r w:rsidRPr="00C77B54">
        <w:rPr>
          <w:rFonts w:cs="Segoe UI"/>
          <w:lang w:val="de-AT" w:eastAsia="de-AT"/>
        </w:rPr>
        <w:t>Schüler:in</w:t>
      </w:r>
      <w:proofErr w:type="spellEnd"/>
      <w:r w:rsidRPr="00C77B54">
        <w:rPr>
          <w:rFonts w:cs="Segoe UI"/>
          <w:lang w:val="de-AT" w:eastAsia="de-AT"/>
        </w:rPr>
        <w:t xml:space="preserve"> benennen und Unfug bis hin zu Mobbing treiben?</w:t>
      </w:r>
    </w:p>
    <w:p w14:paraId="42CFF5CB" w14:textId="77777777" w:rsidR="006E10DE" w:rsidRPr="00C77B54" w:rsidRDefault="006E10DE" w:rsidP="006E10DE">
      <w:pPr>
        <w:pStyle w:val="Listenabsatz"/>
        <w:numPr>
          <w:ilvl w:val="0"/>
          <w:numId w:val="26"/>
        </w:numPr>
        <w:tabs>
          <w:tab w:val="num" w:pos="284"/>
          <w:tab w:val="num" w:pos="567"/>
        </w:tabs>
        <w:autoSpaceDE w:val="0"/>
        <w:autoSpaceDN w:val="0"/>
        <w:adjustRightInd w:val="0"/>
        <w:ind w:left="284" w:hanging="284"/>
        <w:jc w:val="left"/>
        <w:rPr>
          <w:rFonts w:cs="Segoe UI"/>
          <w:lang w:val="de-AT" w:eastAsia="de-AT"/>
        </w:rPr>
      </w:pPr>
      <w:r w:rsidRPr="00C77B54">
        <w:rPr>
          <w:rFonts w:cs="Segoe UI"/>
          <w:lang w:val="de-AT" w:eastAsia="de-AT"/>
        </w:rPr>
        <w:t xml:space="preserve">Wer sich bei Problemen in die tiefen der MS365 LOGs stürzt, wird Tage (nicht Stunden!) mit Recherchen verbringen. </w:t>
      </w:r>
    </w:p>
    <w:p w14:paraId="3F154D7B" w14:textId="77777777" w:rsidR="006E10DE" w:rsidRPr="00C77B54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rFonts w:cs="Segoe UI"/>
          <w:lang w:val="de-AT" w:eastAsia="de-AT"/>
        </w:rPr>
      </w:pPr>
    </w:p>
    <w:p w14:paraId="2F4A2E44" w14:textId="77777777" w:rsidR="006E10DE" w:rsidRPr="00C77B54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rFonts w:cs="Segoe UI"/>
          <w:lang w:val="de-AT" w:eastAsia="de-AT"/>
        </w:rPr>
      </w:pPr>
      <w:r w:rsidRPr="00C77B54">
        <w:rPr>
          <w:rFonts w:cs="Segoe UI"/>
          <w:lang w:val="de-AT" w:eastAsia="de-AT"/>
        </w:rPr>
        <w:t>Lösungsansätze:</w:t>
      </w:r>
    </w:p>
    <w:p w14:paraId="4BDDC496" w14:textId="77777777" w:rsidR="006E10DE" w:rsidRPr="00C77B54" w:rsidRDefault="006E10DE" w:rsidP="006E10DE">
      <w:pPr>
        <w:pStyle w:val="Listenabsatz"/>
        <w:numPr>
          <w:ilvl w:val="0"/>
          <w:numId w:val="26"/>
        </w:numPr>
        <w:tabs>
          <w:tab w:val="num" w:pos="284"/>
          <w:tab w:val="num" w:pos="567"/>
        </w:tabs>
        <w:autoSpaceDE w:val="0"/>
        <w:autoSpaceDN w:val="0"/>
        <w:adjustRightInd w:val="0"/>
        <w:ind w:left="284" w:hanging="284"/>
        <w:jc w:val="left"/>
        <w:rPr>
          <w:rFonts w:cs="Segoe UI"/>
          <w:lang w:val="de-AT" w:eastAsia="de-AT"/>
        </w:rPr>
      </w:pPr>
      <w:r w:rsidRPr="00C77B54">
        <w:rPr>
          <w:rFonts w:cs="Segoe UI"/>
          <w:lang w:val="de-AT" w:eastAsia="de-AT"/>
        </w:rPr>
        <w:t>Information der Direktion und Autorisierung durch die Direktion.</w:t>
      </w:r>
    </w:p>
    <w:p w14:paraId="15CB9F30" w14:textId="77777777" w:rsidR="006E10DE" w:rsidRPr="00C77B54" w:rsidRDefault="006E10DE" w:rsidP="006E10DE">
      <w:pPr>
        <w:pStyle w:val="Listenabsatz"/>
        <w:numPr>
          <w:ilvl w:val="0"/>
          <w:numId w:val="26"/>
        </w:numPr>
        <w:tabs>
          <w:tab w:val="num" w:pos="284"/>
          <w:tab w:val="num" w:pos="567"/>
        </w:tabs>
        <w:autoSpaceDE w:val="0"/>
        <w:autoSpaceDN w:val="0"/>
        <w:adjustRightInd w:val="0"/>
        <w:ind w:left="284" w:hanging="284"/>
        <w:jc w:val="left"/>
        <w:rPr>
          <w:rFonts w:cs="Segoe UI"/>
          <w:lang w:val="de-AT" w:eastAsia="de-AT"/>
        </w:rPr>
      </w:pPr>
      <w:r w:rsidRPr="00C77B54">
        <w:rPr>
          <w:rFonts w:cs="Segoe UI"/>
          <w:lang w:val="de-AT" w:eastAsia="de-AT"/>
        </w:rPr>
        <w:t xml:space="preserve">Temporäres Öffnen dieser Möglichkeit und Umbenennen der Geräte in einem definierten Zeitraum durch die </w:t>
      </w:r>
      <w:proofErr w:type="spellStart"/>
      <w:proofErr w:type="gramStart"/>
      <w:r w:rsidRPr="00C77B54">
        <w:rPr>
          <w:rFonts w:cs="Segoe UI"/>
          <w:lang w:val="de-AT" w:eastAsia="de-AT"/>
        </w:rPr>
        <w:t>Schüler:innen</w:t>
      </w:r>
      <w:proofErr w:type="spellEnd"/>
      <w:proofErr w:type="gramEnd"/>
      <w:r w:rsidRPr="00C77B54">
        <w:rPr>
          <w:rFonts w:cs="Segoe UI"/>
          <w:lang w:val="de-AT" w:eastAsia="de-AT"/>
        </w:rPr>
        <w:t xml:space="preserve"> nach einem stringenten Muster z.B.: </w:t>
      </w:r>
      <w:proofErr w:type="spellStart"/>
      <w:r w:rsidRPr="00C77B54">
        <w:rPr>
          <w:rFonts w:cs="Segoe UI"/>
          <w:lang w:val="de-AT" w:eastAsia="de-AT"/>
        </w:rPr>
        <w:t>vorname.nachname</w:t>
      </w:r>
      <w:proofErr w:type="spellEnd"/>
    </w:p>
    <w:p w14:paraId="3FA6AF1B" w14:textId="77777777" w:rsidR="006E10DE" w:rsidRPr="00C77B54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p w14:paraId="78988143" w14:textId="77777777" w:rsidR="006E10DE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  <w:r>
        <w:rPr>
          <w:lang w:val="de-AT"/>
        </w:rPr>
        <w:t>Technische Umsetzung:</w:t>
      </w:r>
    </w:p>
    <w:p w14:paraId="0DA3DB1C" w14:textId="77777777" w:rsidR="006E10DE" w:rsidRPr="00A72206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7"/>
        <w:gridCol w:w="4535"/>
      </w:tblGrid>
      <w:tr w:rsidR="006E10DE" w14:paraId="1BEED997" w14:textId="77777777" w:rsidTr="00B11F8F">
        <w:tc>
          <w:tcPr>
            <w:tcW w:w="4815" w:type="dxa"/>
          </w:tcPr>
          <w:p w14:paraId="621966B6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>Änderungen im Registrierungsprofil:</w:t>
            </w:r>
          </w:p>
          <w:p w14:paraId="03862E09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5CA35797" wp14:editId="0164206A">
                  <wp:extent cx="2884254" cy="2598821"/>
                  <wp:effectExtent l="0" t="0" r="0" b="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215" cy="2616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14:paraId="4DA0C18C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noProof/>
              </w:rPr>
            </w:pPr>
          </w:p>
          <w:p w14:paraId="2B2DED21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793C2CD7" wp14:editId="14912600">
                  <wp:extent cx="2223072" cy="2502568"/>
                  <wp:effectExtent l="0" t="0" r="6350" b="0"/>
                  <wp:docPr id="909" name="Grafik 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08" cy="253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10DE" w14:paraId="3FF70C55" w14:textId="77777777" w:rsidTr="00B11F8F">
        <w:tc>
          <w:tcPr>
            <w:tcW w:w="4815" w:type="dxa"/>
          </w:tcPr>
          <w:p w14:paraId="351E3E16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noProof/>
              </w:rPr>
            </w:pPr>
          </w:p>
          <w:p w14:paraId="6440AFBA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noProof/>
              </w:rPr>
            </w:pPr>
            <w:r>
              <w:rPr>
                <w:noProof/>
              </w:rPr>
              <w:t>Auswahl der Registrierungsprofils:</w:t>
            </w:r>
          </w:p>
          <w:p w14:paraId="20A25554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1F6B909D" wp14:editId="7C979CDD">
                  <wp:extent cx="2951939" cy="2174146"/>
                  <wp:effectExtent l="0" t="0" r="1270" b="0"/>
                  <wp:docPr id="912" name="Grafik 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102" cy="218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14:paraId="0EB03A6E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19BE494F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340F09C8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5F69D593" wp14:editId="7A335C03">
                  <wp:extent cx="2679504" cy="2310063"/>
                  <wp:effectExtent l="0" t="0" r="6985" b="0"/>
                  <wp:docPr id="914" name="Grafik 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525" cy="232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10DE" w14:paraId="4F3C2415" w14:textId="77777777" w:rsidTr="00B11F8F">
        <w:tc>
          <w:tcPr>
            <w:tcW w:w="4815" w:type="dxa"/>
          </w:tcPr>
          <w:p w14:paraId="03A0E815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4EF420E1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1F5DE9B6" wp14:editId="70DBA017">
                  <wp:extent cx="2920853" cy="3025083"/>
                  <wp:effectExtent l="0" t="0" r="0" b="4445"/>
                  <wp:docPr id="916" name="Grafik 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182" cy="3054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14:paraId="069E3ADF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7F453C66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>In diesem Zustand könnte der MDM-Admin die Geräte in Intune von Hand umbenennen.</w:t>
            </w:r>
          </w:p>
          <w:p w14:paraId="1E2B0886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 xml:space="preserve">Das halte ich für unzumutbar und eine Automatisierung per </w:t>
            </w:r>
            <w:proofErr w:type="spellStart"/>
            <w:r>
              <w:rPr>
                <w:lang w:val="de-AT"/>
              </w:rPr>
              <w:t>Powershell</w:t>
            </w:r>
            <w:proofErr w:type="spellEnd"/>
            <w:r>
              <w:rPr>
                <w:lang w:val="de-AT"/>
              </w:rPr>
              <w:t xml:space="preserve"> Skript wird überfordern.</w:t>
            </w:r>
          </w:p>
          <w:p w14:paraId="73F2ACB5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3FD88627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>Es ginge so:</w:t>
            </w:r>
            <w:r>
              <w:rPr>
                <w:lang w:val="de-AT"/>
              </w:rPr>
              <w:br/>
              <w:t>Gerät suchen – Eigenschaften – Umbenennen.</w:t>
            </w:r>
          </w:p>
          <w:p w14:paraId="709F5D4F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2CCB830E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34997C4E" wp14:editId="7F42902D">
                  <wp:extent cx="2958813" cy="1194882"/>
                  <wp:effectExtent l="0" t="0" r="0" b="5715"/>
                  <wp:docPr id="917" name="Grafik 9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959" cy="1206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6F8488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</w:tc>
      </w:tr>
    </w:tbl>
    <w:p w14:paraId="514108D4" w14:textId="77777777" w:rsidR="006E10DE" w:rsidRPr="00A72206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p w14:paraId="46FC86A1" w14:textId="77777777" w:rsidR="006E10DE" w:rsidRPr="007B46EF" w:rsidRDefault="006E10DE" w:rsidP="006E10DE">
      <w:pPr>
        <w:tabs>
          <w:tab w:val="num" w:pos="284"/>
          <w:tab w:val="num" w:pos="567"/>
        </w:tabs>
        <w:autoSpaceDE w:val="0"/>
        <w:autoSpaceDN w:val="0"/>
        <w:adjustRightInd w:val="0"/>
        <w:jc w:val="left"/>
        <w:rPr>
          <w:rFonts w:cs="Segoe UI"/>
          <w:sz w:val="21"/>
          <w:szCs w:val="21"/>
          <w:lang w:val="de-AT" w:eastAsia="de-AT"/>
        </w:rPr>
      </w:pPr>
      <w:r>
        <w:rPr>
          <w:rFonts w:cs="Segoe UI"/>
          <w:sz w:val="21"/>
          <w:szCs w:val="21"/>
          <w:lang w:val="de-AT" w:eastAsia="de-AT"/>
        </w:rPr>
        <w:t>(</w:t>
      </w:r>
      <w:r w:rsidRPr="007B46EF">
        <w:rPr>
          <w:rFonts w:cs="Segoe UI"/>
          <w:sz w:val="21"/>
          <w:szCs w:val="21"/>
          <w:lang w:val="de-AT" w:eastAsia="de-AT"/>
        </w:rPr>
        <w:t>Temporäres</w:t>
      </w:r>
      <w:r>
        <w:rPr>
          <w:rFonts w:cs="Segoe UI"/>
          <w:sz w:val="21"/>
          <w:szCs w:val="21"/>
          <w:lang w:val="de-AT" w:eastAsia="de-AT"/>
        </w:rPr>
        <w:t>)</w:t>
      </w:r>
      <w:r w:rsidRPr="007B46EF">
        <w:rPr>
          <w:rFonts w:cs="Segoe UI"/>
          <w:sz w:val="21"/>
          <w:szCs w:val="21"/>
          <w:lang w:val="de-AT" w:eastAsia="de-AT"/>
        </w:rPr>
        <w:t xml:space="preserve"> Öffnen </w:t>
      </w:r>
      <w:r>
        <w:rPr>
          <w:rFonts w:cs="Segoe UI"/>
          <w:sz w:val="21"/>
          <w:szCs w:val="21"/>
          <w:lang w:val="de-AT" w:eastAsia="de-AT"/>
        </w:rPr>
        <w:t>der</w:t>
      </w:r>
      <w:r w:rsidRPr="007B46EF">
        <w:rPr>
          <w:rFonts w:cs="Segoe UI"/>
          <w:sz w:val="21"/>
          <w:szCs w:val="21"/>
          <w:lang w:val="de-AT" w:eastAsia="de-AT"/>
        </w:rPr>
        <w:t xml:space="preserve"> Möglichkeit </w:t>
      </w:r>
      <w:r>
        <w:rPr>
          <w:rFonts w:cs="Segoe UI"/>
          <w:sz w:val="21"/>
          <w:szCs w:val="21"/>
          <w:lang w:val="de-AT" w:eastAsia="de-AT"/>
        </w:rPr>
        <w:t>zum</w:t>
      </w:r>
      <w:r w:rsidRPr="007B46EF">
        <w:rPr>
          <w:rFonts w:cs="Segoe UI"/>
          <w:sz w:val="21"/>
          <w:szCs w:val="21"/>
          <w:lang w:val="de-AT" w:eastAsia="de-AT"/>
        </w:rPr>
        <w:t xml:space="preserve"> Umbenennen der Geräte durch die </w:t>
      </w:r>
      <w:proofErr w:type="spellStart"/>
      <w:proofErr w:type="gramStart"/>
      <w:r w:rsidRPr="007B46EF">
        <w:rPr>
          <w:rFonts w:cs="Segoe UI"/>
          <w:sz w:val="21"/>
          <w:szCs w:val="21"/>
          <w:lang w:val="de-AT" w:eastAsia="de-AT"/>
        </w:rPr>
        <w:t>Schüler:innen</w:t>
      </w:r>
      <w:proofErr w:type="spellEnd"/>
      <w:proofErr w:type="gramEnd"/>
      <w:r w:rsidRPr="007B46EF">
        <w:rPr>
          <w:rFonts w:cs="Segoe UI"/>
          <w:sz w:val="21"/>
          <w:szCs w:val="21"/>
          <w:lang w:val="de-AT" w:eastAsia="de-AT"/>
        </w:rPr>
        <w:t xml:space="preserve"> nach einen stringenten Muster z.B.: </w:t>
      </w:r>
      <w:proofErr w:type="spellStart"/>
      <w:r w:rsidRPr="007B46EF">
        <w:rPr>
          <w:rFonts w:cs="Segoe UI"/>
          <w:sz w:val="21"/>
          <w:szCs w:val="21"/>
          <w:lang w:val="de-AT" w:eastAsia="de-AT"/>
        </w:rPr>
        <w:t>vorname.nachname</w:t>
      </w:r>
      <w:proofErr w:type="spellEnd"/>
    </w:p>
    <w:p w14:paraId="60C5B19E" w14:textId="77777777" w:rsidR="006E10DE" w:rsidRPr="00A72206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359"/>
        <w:gridCol w:w="4703"/>
      </w:tblGrid>
      <w:tr w:rsidR="006E10DE" w14:paraId="6A96E33E" w14:textId="77777777" w:rsidTr="00B11F8F">
        <w:tc>
          <w:tcPr>
            <w:tcW w:w="4676" w:type="dxa"/>
          </w:tcPr>
          <w:p w14:paraId="1B3BE027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>iOS/</w:t>
            </w:r>
            <w:proofErr w:type="spellStart"/>
            <w:r>
              <w:rPr>
                <w:lang w:val="de-AT"/>
              </w:rPr>
              <w:t>iPadOS</w:t>
            </w:r>
            <w:proofErr w:type="spellEnd"/>
            <w:r>
              <w:rPr>
                <w:lang w:val="de-AT"/>
              </w:rPr>
              <w:t xml:space="preserve"> Geräte - Konfigurationsprofile</w:t>
            </w:r>
          </w:p>
          <w:p w14:paraId="63130544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37A2185E" wp14:editId="608D981A">
                  <wp:extent cx="1619869" cy="1945678"/>
                  <wp:effectExtent l="0" t="0" r="0" b="0"/>
                  <wp:docPr id="918" name="Grafik 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708" cy="1970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4" w:type="dxa"/>
          </w:tcPr>
          <w:p w14:paraId="6BBDFE62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>iPads-</w:t>
            </w:r>
            <w:proofErr w:type="spellStart"/>
            <w:r>
              <w:rPr>
                <w:lang w:val="de-AT"/>
              </w:rPr>
              <w:t>Konfig</w:t>
            </w:r>
            <w:proofErr w:type="spellEnd"/>
            <w:r>
              <w:rPr>
                <w:lang w:val="de-AT"/>
              </w:rPr>
              <w:t>-</w:t>
            </w:r>
            <w:proofErr w:type="spellStart"/>
            <w:r>
              <w:rPr>
                <w:lang w:val="de-AT"/>
              </w:rPr>
              <w:t>Restrictions</w:t>
            </w:r>
            <w:proofErr w:type="spellEnd"/>
          </w:p>
          <w:p w14:paraId="72D4D907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drawing>
                <wp:inline distT="0" distB="0" distL="0" distR="0" wp14:anchorId="33110200" wp14:editId="2E868AB3">
                  <wp:extent cx="2853189" cy="2670154"/>
                  <wp:effectExtent l="0" t="0" r="4445" b="0"/>
                  <wp:docPr id="919" name="Grafik 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052" cy="2690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10DE" w14:paraId="76434853" w14:textId="77777777" w:rsidTr="00B11F8F">
        <w:tc>
          <w:tcPr>
            <w:tcW w:w="4676" w:type="dxa"/>
          </w:tcPr>
          <w:p w14:paraId="3998AB8C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30F9F486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83C08D" wp14:editId="2B7EE506">
                  <wp:extent cx="2784451" cy="4084299"/>
                  <wp:effectExtent l="0" t="0" r="0" b="0"/>
                  <wp:docPr id="920" name="Grafik 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247" cy="411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4" w:type="dxa"/>
          </w:tcPr>
          <w:p w14:paraId="00268A48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lastRenderedPageBreak/>
              <w:t>Im Bereich Allgemein:</w:t>
            </w:r>
            <w:r>
              <w:rPr>
                <w:lang w:val="de-AT"/>
              </w:rPr>
              <w:br/>
              <w:t>Änderung des Gerätenamens blockieren auf „nicht konfiguriert“.</w:t>
            </w:r>
          </w:p>
          <w:p w14:paraId="61939836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E24DE23" wp14:editId="276ABF15">
                  <wp:extent cx="3015612" cy="2488818"/>
                  <wp:effectExtent l="0" t="0" r="0" b="6985"/>
                  <wp:docPr id="921" name="Grafik 9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778" cy="2496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10DE" w14:paraId="1254D6C6" w14:textId="77777777" w:rsidTr="00B11F8F">
        <w:tc>
          <w:tcPr>
            <w:tcW w:w="9630" w:type="dxa"/>
            <w:gridSpan w:val="2"/>
          </w:tcPr>
          <w:p w14:paraId="0E3A9848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45313E5A" wp14:editId="0D31E59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4184650" cy="2493645"/>
                  <wp:effectExtent l="0" t="0" r="6350" b="1905"/>
                  <wp:wrapTight wrapText="bothSides">
                    <wp:wrapPolygon edited="0">
                      <wp:start x="0" y="0"/>
                      <wp:lineTo x="0" y="21451"/>
                      <wp:lineTo x="21534" y="21451"/>
                      <wp:lineTo x="21534" y="0"/>
                      <wp:lineTo x="0" y="0"/>
                    </wp:wrapPolygon>
                  </wp:wrapTight>
                  <wp:docPr id="922" name="Grafik 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650" cy="2493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F0CD02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>Zum Testen kann man die Einstellungen sofort auf ein Gerät synchronisieren und ev. das Gerät neu starten.</w:t>
            </w:r>
            <w:r>
              <w:rPr>
                <w:lang w:val="de-AT"/>
              </w:rPr>
              <w:br/>
              <w:t>Im Beispiel habe ich erfolgreich meinem bisherigen Gerätnamen die Initialen AR vorangestellt.</w:t>
            </w:r>
          </w:p>
          <w:p w14:paraId="48F5B12C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</w:p>
          <w:p w14:paraId="149AD11C" w14:textId="77777777" w:rsidR="006E10DE" w:rsidRDefault="006E10DE" w:rsidP="00B11F8F">
            <w:pPr>
              <w:tabs>
                <w:tab w:val="num" w:pos="567"/>
              </w:tabs>
              <w:autoSpaceDE w:val="0"/>
              <w:autoSpaceDN w:val="0"/>
              <w:adjustRightInd w:val="0"/>
              <w:jc w:val="left"/>
              <w:rPr>
                <w:lang w:val="de-AT"/>
              </w:rPr>
            </w:pPr>
            <w:r>
              <w:rPr>
                <w:lang w:val="de-AT"/>
              </w:rPr>
              <w:t>Das Ausführen der Befehle auf dem iPad kann Minuten bis Stunden dauern.</w:t>
            </w:r>
          </w:p>
        </w:tc>
      </w:tr>
    </w:tbl>
    <w:p w14:paraId="5BC014DD" w14:textId="77777777" w:rsidR="006E10DE" w:rsidRPr="00A72206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p w14:paraId="72ED3F32" w14:textId="77777777" w:rsidR="006E10DE" w:rsidRPr="00A72206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p w14:paraId="129E43FF" w14:textId="77777777" w:rsidR="006E10DE" w:rsidRDefault="006E10DE" w:rsidP="006E10DE">
      <w:pPr>
        <w:tabs>
          <w:tab w:val="num" w:pos="567"/>
        </w:tabs>
        <w:autoSpaceDE w:val="0"/>
        <w:autoSpaceDN w:val="0"/>
        <w:adjustRightInd w:val="0"/>
        <w:jc w:val="left"/>
        <w:rPr>
          <w:lang w:val="de-AT"/>
        </w:rPr>
      </w:pPr>
    </w:p>
    <w:p w14:paraId="5093DADB" w14:textId="77777777" w:rsidR="00B32AEA" w:rsidRPr="006E10DE" w:rsidRDefault="00B32AEA">
      <w:pPr>
        <w:rPr>
          <w:lang w:val="de-AT"/>
        </w:rPr>
      </w:pPr>
    </w:p>
    <w:sectPr w:rsidR="00B32AEA" w:rsidRPr="006E10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86D61"/>
    <w:multiLevelType w:val="multilevel"/>
    <w:tmpl w:val="07DA818C"/>
    <w:lvl w:ilvl="0">
      <w:start w:val="1"/>
      <w:numFmt w:val="decimal"/>
      <w:pStyle w:val="berschrift1"/>
      <w:lvlText w:val="%1"/>
      <w:lvlJc w:val="left"/>
      <w:pPr>
        <w:ind w:left="858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berschrift2"/>
      <w:lvlText w:val="%1.%2"/>
      <w:lvlJc w:val="left"/>
      <w:pPr>
        <w:ind w:left="860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C2B07A1"/>
    <w:multiLevelType w:val="hybridMultilevel"/>
    <w:tmpl w:val="38CAFB2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95F0E"/>
    <w:multiLevelType w:val="multilevel"/>
    <w:tmpl w:val="6F603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A4462B6"/>
    <w:multiLevelType w:val="multilevel"/>
    <w:tmpl w:val="8702ED2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 w16cid:durableId="1802528689">
    <w:abstractNumId w:val="0"/>
  </w:num>
  <w:num w:numId="2" w16cid:durableId="700516637">
    <w:abstractNumId w:val="0"/>
  </w:num>
  <w:num w:numId="3" w16cid:durableId="1038357247">
    <w:abstractNumId w:val="0"/>
  </w:num>
  <w:num w:numId="4" w16cid:durableId="1394041150">
    <w:abstractNumId w:val="0"/>
  </w:num>
  <w:num w:numId="5" w16cid:durableId="919027781">
    <w:abstractNumId w:val="2"/>
  </w:num>
  <w:num w:numId="6" w16cid:durableId="875775205">
    <w:abstractNumId w:val="2"/>
  </w:num>
  <w:num w:numId="7" w16cid:durableId="382367170">
    <w:abstractNumId w:val="0"/>
  </w:num>
  <w:num w:numId="8" w16cid:durableId="1399203263">
    <w:abstractNumId w:val="0"/>
  </w:num>
  <w:num w:numId="9" w16cid:durableId="624889080">
    <w:abstractNumId w:val="0"/>
  </w:num>
  <w:num w:numId="10" w16cid:durableId="1016615680">
    <w:abstractNumId w:val="0"/>
  </w:num>
  <w:num w:numId="11" w16cid:durableId="1288849992">
    <w:abstractNumId w:val="0"/>
  </w:num>
  <w:num w:numId="12" w16cid:durableId="263617515">
    <w:abstractNumId w:val="0"/>
  </w:num>
  <w:num w:numId="13" w16cid:durableId="719860641">
    <w:abstractNumId w:val="0"/>
  </w:num>
  <w:num w:numId="14" w16cid:durableId="150412057">
    <w:abstractNumId w:val="0"/>
  </w:num>
  <w:num w:numId="15" w16cid:durableId="4603540">
    <w:abstractNumId w:val="0"/>
  </w:num>
  <w:num w:numId="16" w16cid:durableId="1855802577">
    <w:abstractNumId w:val="0"/>
  </w:num>
  <w:num w:numId="17" w16cid:durableId="708989636">
    <w:abstractNumId w:val="0"/>
  </w:num>
  <w:num w:numId="18" w16cid:durableId="1744058998">
    <w:abstractNumId w:val="0"/>
  </w:num>
  <w:num w:numId="19" w16cid:durableId="1823112077">
    <w:abstractNumId w:val="0"/>
  </w:num>
  <w:num w:numId="20" w16cid:durableId="1654216424">
    <w:abstractNumId w:val="0"/>
  </w:num>
  <w:num w:numId="21" w16cid:durableId="925381467">
    <w:abstractNumId w:val="0"/>
  </w:num>
  <w:num w:numId="22" w16cid:durableId="371154267">
    <w:abstractNumId w:val="0"/>
  </w:num>
  <w:num w:numId="23" w16cid:durableId="472213555">
    <w:abstractNumId w:val="0"/>
  </w:num>
  <w:num w:numId="24" w16cid:durableId="1334143528">
    <w:abstractNumId w:val="0"/>
  </w:num>
  <w:num w:numId="25" w16cid:durableId="2073232202">
    <w:abstractNumId w:val="3"/>
  </w:num>
  <w:num w:numId="26" w16cid:durableId="1640724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89"/>
    <w:rsid w:val="00033A92"/>
    <w:rsid w:val="00066B0B"/>
    <w:rsid w:val="00254C7D"/>
    <w:rsid w:val="0028036F"/>
    <w:rsid w:val="00300BAE"/>
    <w:rsid w:val="00335548"/>
    <w:rsid w:val="003F5689"/>
    <w:rsid w:val="004436C4"/>
    <w:rsid w:val="00504C58"/>
    <w:rsid w:val="00530018"/>
    <w:rsid w:val="006E10DE"/>
    <w:rsid w:val="007A5800"/>
    <w:rsid w:val="008730CC"/>
    <w:rsid w:val="00963277"/>
    <w:rsid w:val="009906E5"/>
    <w:rsid w:val="009C0B90"/>
    <w:rsid w:val="00B32AEA"/>
    <w:rsid w:val="00B91731"/>
    <w:rsid w:val="00BB1C57"/>
    <w:rsid w:val="00C4634D"/>
    <w:rsid w:val="00CE7452"/>
    <w:rsid w:val="00D403BF"/>
    <w:rsid w:val="00E16511"/>
    <w:rsid w:val="00E6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51364-BDE8-4F57-95B6-13EA5C36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0DE"/>
    <w:pPr>
      <w:jc w:val="both"/>
    </w:pPr>
    <w:rPr>
      <w:rFonts w:ascii="Century Gothic" w:eastAsia="Times New Roman" w:hAnsi="Century Gothic" w:cs="Times New Roman"/>
      <w:sz w:val="20"/>
      <w:szCs w:val="20"/>
      <w:lang w:val="de-DE" w:eastAsia="de-DE"/>
    </w:rPr>
  </w:style>
  <w:style w:type="paragraph" w:styleId="berschrift1">
    <w:name w:val="heading 1"/>
    <w:aliases w:val="Überschrift 1 Char"/>
    <w:basedOn w:val="Standard"/>
    <w:next w:val="Standard"/>
    <w:link w:val="berschrift1Zchn"/>
    <w:qFormat/>
    <w:rsid w:val="00BB1C57"/>
    <w:pPr>
      <w:keepNext/>
      <w:keepLines/>
      <w:numPr>
        <w:numId w:val="24"/>
      </w:numPr>
      <w:pBdr>
        <w:bottom w:val="single" w:sz="4" w:space="1" w:color="1F4E79" w:themeColor="accent1" w:themeShade="80"/>
      </w:pBdr>
      <w:spacing w:before="120" w:after="12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2"/>
    </w:rPr>
  </w:style>
  <w:style w:type="paragraph" w:styleId="berschrift2">
    <w:name w:val="heading 2"/>
    <w:aliases w:val="Überschrift 2 Char"/>
    <w:basedOn w:val="berschrift1"/>
    <w:link w:val="berschrift2Zchn"/>
    <w:qFormat/>
    <w:rsid w:val="00BB1C57"/>
    <w:pPr>
      <w:numPr>
        <w:ilvl w:val="1"/>
        <w:numId w:val="18"/>
      </w:numPr>
      <w:spacing w:after="0"/>
      <w:ind w:left="862" w:hanging="578"/>
      <w:outlineLvl w:val="1"/>
    </w:pPr>
    <w:rPr>
      <w:rFonts w:eastAsia="Times New Roman" w:cs="Times New Roman"/>
      <w:bCs/>
      <w:color w:val="323E4F" w:themeColor="text2" w:themeShade="BF"/>
      <w:sz w:val="28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Überschrift 1 Char Zchn"/>
    <w:basedOn w:val="Absatz-Standardschriftart"/>
    <w:link w:val="berschrift1"/>
    <w:rsid w:val="008730CC"/>
    <w:rPr>
      <w:rFonts w:asciiTheme="majorHAnsi" w:eastAsiaTheme="majorEastAsia" w:hAnsiTheme="majorHAnsi" w:cstheme="majorBidi"/>
      <w:color w:val="1F4E79" w:themeColor="accent1" w:themeShade="80"/>
      <w:sz w:val="36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28036F"/>
    <w:pPr>
      <w:pBdr>
        <w:bottom w:val="single" w:sz="4" w:space="1" w:color="1F4E79" w:themeColor="accent1" w:themeShade="80"/>
      </w:pBdr>
      <w:spacing w:after="240"/>
      <w:contextualSpacing/>
    </w:pPr>
    <w:rPr>
      <w:rFonts w:asciiTheme="majorHAnsi" w:eastAsiaTheme="majorEastAsia" w:hAnsiTheme="majorHAnsi" w:cstheme="majorBidi"/>
      <w:color w:val="1F4E79" w:themeColor="accent1" w:themeShade="80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036F"/>
    <w:rPr>
      <w:rFonts w:asciiTheme="majorHAnsi" w:eastAsiaTheme="majorEastAsia" w:hAnsiTheme="majorHAnsi" w:cstheme="majorBidi"/>
      <w:color w:val="1F4E79" w:themeColor="accent1" w:themeShade="80"/>
      <w:spacing w:val="-10"/>
      <w:kern w:val="28"/>
      <w:sz w:val="56"/>
      <w:szCs w:val="5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B1C57"/>
    <w:rPr>
      <w:rFonts w:asciiTheme="majorHAnsi" w:eastAsia="Times New Roman" w:hAnsiTheme="majorHAnsi" w:cs="Times New Roman"/>
      <w:bCs/>
      <w:color w:val="323E4F" w:themeColor="text2" w:themeShade="BF"/>
      <w:sz w:val="28"/>
      <w:szCs w:val="36"/>
      <w:lang w:eastAsia="de-AT"/>
    </w:rPr>
  </w:style>
  <w:style w:type="paragraph" w:styleId="Listenabsatz">
    <w:name w:val="List Paragraph"/>
    <w:basedOn w:val="Standard"/>
    <w:uiPriority w:val="34"/>
    <w:qFormat/>
    <w:rsid w:val="006E10DE"/>
    <w:pPr>
      <w:ind w:left="720"/>
      <w:contextualSpacing/>
    </w:pPr>
  </w:style>
  <w:style w:type="table" w:styleId="Tabellenraster">
    <w:name w:val="Table Grid"/>
    <w:basedOn w:val="NormaleTabelle"/>
    <w:rsid w:val="006E10DE"/>
    <w:pPr>
      <w:jc w:val="both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Renner</dc:creator>
  <cp:keywords/>
  <dc:description/>
  <cp:lastModifiedBy>Andreas Renner</cp:lastModifiedBy>
  <cp:revision>2</cp:revision>
  <dcterms:created xsi:type="dcterms:W3CDTF">2022-11-14T09:54:00Z</dcterms:created>
  <dcterms:modified xsi:type="dcterms:W3CDTF">2022-11-14T09:54:00Z</dcterms:modified>
</cp:coreProperties>
</file>